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FB" w:rsidRPr="00076FFB" w:rsidRDefault="00076FFB" w:rsidP="000E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6"/>
          <w:szCs w:val="6"/>
        </w:rPr>
      </w:pPr>
    </w:p>
    <w:p w:rsidR="00076FFB" w:rsidRDefault="00076FFB" w:rsidP="000E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Schließung der Schulen und Kindertageseinrichtungen im FSN </w:t>
      </w:r>
    </w:p>
    <w:p w:rsidR="00A160AC" w:rsidRDefault="00076FFB" w:rsidP="000E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 xml:space="preserve">zur Bekämpfung der Corona-Pandemie </w:t>
      </w:r>
    </w:p>
    <w:p w:rsidR="000F3A9E" w:rsidRDefault="000F3A9E" w:rsidP="000F3A9E">
      <w:pPr>
        <w:jc w:val="center"/>
        <w:rPr>
          <w:sz w:val="14"/>
          <w:szCs w:val="14"/>
        </w:rPr>
      </w:pPr>
    </w:p>
    <w:p w:rsidR="00076FFB" w:rsidRDefault="000F3A9E" w:rsidP="000F3A9E">
      <w:pPr>
        <w:jc w:val="center"/>
        <w:rPr>
          <w:sz w:val="14"/>
          <w:szCs w:val="14"/>
        </w:rPr>
      </w:pPr>
      <w:r w:rsidRPr="000F3A9E">
        <w:rPr>
          <w:sz w:val="14"/>
          <w:szCs w:val="14"/>
        </w:rPr>
        <w:t>Stand 13. März 2020 12 Uhr</w:t>
      </w:r>
    </w:p>
    <w:p w:rsidR="000F3A9E" w:rsidRDefault="000F3A9E" w:rsidP="000F3A9E">
      <w:pPr>
        <w:jc w:val="center"/>
      </w:pPr>
    </w:p>
    <w:p w:rsidR="000F3A9E" w:rsidRPr="000F3A9E" w:rsidRDefault="000F3A9E" w:rsidP="000F3A9E">
      <w:pPr>
        <w:jc w:val="center"/>
        <w:rPr>
          <w:b/>
        </w:rPr>
      </w:pPr>
    </w:p>
    <w:p w:rsidR="00076FFB" w:rsidRPr="000F3A9E" w:rsidRDefault="006D07F1" w:rsidP="00E76AF2">
      <w:pPr>
        <w:pStyle w:val="Listenabsatz"/>
        <w:numPr>
          <w:ilvl w:val="0"/>
          <w:numId w:val="12"/>
        </w:numPr>
        <w:ind w:left="1077" w:hanging="357"/>
        <w:rPr>
          <w:b/>
          <w:sz w:val="20"/>
          <w:szCs w:val="20"/>
        </w:rPr>
      </w:pPr>
      <w:r w:rsidRPr="000F3A9E">
        <w:rPr>
          <w:b/>
          <w:sz w:val="20"/>
          <w:szCs w:val="20"/>
        </w:rPr>
        <w:t xml:space="preserve">Unterrichtsfreie Zeit und </w:t>
      </w:r>
      <w:r w:rsidR="00076FFB" w:rsidRPr="000F3A9E">
        <w:rPr>
          <w:b/>
          <w:sz w:val="20"/>
          <w:szCs w:val="20"/>
        </w:rPr>
        <w:t>Schließung der Schulen und Kindertageseinrichtungen</w:t>
      </w:r>
    </w:p>
    <w:p w:rsidR="006D07F1" w:rsidRPr="000F3A9E" w:rsidRDefault="006D07F1" w:rsidP="006D07F1">
      <w:pPr>
        <w:pStyle w:val="Listenabsatz"/>
        <w:spacing w:line="360" w:lineRule="auto"/>
        <w:rPr>
          <w:b/>
          <w:sz w:val="20"/>
          <w:szCs w:val="20"/>
        </w:rPr>
      </w:pPr>
    </w:p>
    <w:p w:rsidR="006D07F1" w:rsidRPr="000F3A9E" w:rsidRDefault="006D07F1" w:rsidP="006D07F1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 xml:space="preserve">In der kommenden Woche findet über eine Anordnung des SMK an allen öffentlichen Schulen im Freistaat Sachsen </w:t>
      </w:r>
      <w:r w:rsidRPr="000F3A9E">
        <w:rPr>
          <w:sz w:val="20"/>
          <w:szCs w:val="20"/>
          <w:u w:val="single"/>
        </w:rPr>
        <w:t>unterrichtsfreie Zeit</w:t>
      </w:r>
      <w:r w:rsidRPr="000F3A9E">
        <w:rPr>
          <w:sz w:val="20"/>
          <w:szCs w:val="20"/>
        </w:rPr>
        <w:t xml:space="preserve"> statt. Eine Schulbesuchspflicht besteht nicht. In der Zeit bleiben Kinderkrippen, Kindergärten</w:t>
      </w:r>
      <w:r w:rsidR="004F202F">
        <w:rPr>
          <w:sz w:val="20"/>
          <w:szCs w:val="20"/>
        </w:rPr>
        <w:t>, Schulen</w:t>
      </w:r>
      <w:r w:rsidRPr="000F3A9E">
        <w:rPr>
          <w:sz w:val="20"/>
          <w:szCs w:val="20"/>
        </w:rPr>
        <w:t xml:space="preserve"> und Schulhorte geöffnet. Die Betreuung der Kinder ist abgesichert. Dies bietet Gelegenheit, dass sich Eltern auf eine weitere Betreuung von Kindern und Schülern im häuslichen Umfeld einstellen können.</w:t>
      </w:r>
    </w:p>
    <w:p w:rsidR="002B36CC" w:rsidRPr="000F3A9E" w:rsidRDefault="00076FFB" w:rsidP="006D07F1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 xml:space="preserve">Schulen und Kindertageseinrichtungen </w:t>
      </w:r>
      <w:r w:rsidR="002B36CC" w:rsidRPr="000F3A9E">
        <w:rPr>
          <w:sz w:val="20"/>
          <w:szCs w:val="20"/>
        </w:rPr>
        <w:t>werden</w:t>
      </w:r>
      <w:r w:rsidR="006A4D65" w:rsidRPr="000F3A9E">
        <w:rPr>
          <w:sz w:val="20"/>
          <w:szCs w:val="20"/>
        </w:rPr>
        <w:t xml:space="preserve"> </w:t>
      </w:r>
      <w:r w:rsidR="006D07F1" w:rsidRPr="000F3A9E">
        <w:rPr>
          <w:sz w:val="20"/>
          <w:szCs w:val="20"/>
        </w:rPr>
        <w:t xml:space="preserve">dann im Laufe der nächsten Woche </w:t>
      </w:r>
      <w:r w:rsidR="002B36CC" w:rsidRPr="000F3A9E">
        <w:rPr>
          <w:sz w:val="20"/>
          <w:szCs w:val="20"/>
        </w:rPr>
        <w:t xml:space="preserve">bis Freitag, den 17. April 2020, im Freistaat Sachsen geschlossen. </w:t>
      </w:r>
      <w:r w:rsidR="004F202F">
        <w:rPr>
          <w:sz w:val="20"/>
          <w:szCs w:val="20"/>
        </w:rPr>
        <w:t xml:space="preserve">Bis dahin wird ein System der Notbetreuung organisiert (siehe Ziffer 4). </w:t>
      </w:r>
      <w:r w:rsidR="006D07F1" w:rsidRPr="000F3A9E">
        <w:rPr>
          <w:sz w:val="20"/>
          <w:szCs w:val="20"/>
        </w:rPr>
        <w:t xml:space="preserve">Die Gesundheitsämter schließen die Schulen in freier Trägerschaft ebenfalls </w:t>
      </w:r>
      <w:r w:rsidR="00E76AF2">
        <w:rPr>
          <w:sz w:val="20"/>
          <w:szCs w:val="20"/>
        </w:rPr>
        <w:t>für diesen Zeitraum.</w:t>
      </w:r>
    </w:p>
    <w:p w:rsidR="00076FFB" w:rsidRPr="000F3A9E" w:rsidRDefault="002B36CC" w:rsidP="00496F5A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>Die Umsetzung erfolgt durch Allgemeinverfügungen der Gesundheitsämter nach dem Infektionsschutzgesetz. Inhalt und Reichweite der Allgemeinverfügungen werden in einem Erlass des SMS festgelegt.</w:t>
      </w:r>
    </w:p>
    <w:p w:rsidR="002B36CC" w:rsidRPr="000F3A9E" w:rsidRDefault="002B36CC" w:rsidP="00496F5A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 xml:space="preserve">Die </w:t>
      </w:r>
      <w:r w:rsidR="0080547E" w:rsidRPr="000F3A9E">
        <w:rPr>
          <w:sz w:val="20"/>
          <w:szCs w:val="20"/>
        </w:rPr>
        <w:t>Lehrerk</w:t>
      </w:r>
      <w:r w:rsidRPr="000F3A9E">
        <w:rPr>
          <w:sz w:val="20"/>
          <w:szCs w:val="20"/>
        </w:rPr>
        <w:t xml:space="preserve">ollegien bereiten sich </w:t>
      </w:r>
      <w:r w:rsidR="006D07F1" w:rsidRPr="000F3A9E">
        <w:rPr>
          <w:sz w:val="20"/>
          <w:szCs w:val="20"/>
        </w:rPr>
        <w:t xml:space="preserve">ab Montag </w:t>
      </w:r>
      <w:r w:rsidR="0080547E" w:rsidRPr="000F3A9E">
        <w:rPr>
          <w:sz w:val="20"/>
          <w:szCs w:val="20"/>
        </w:rPr>
        <w:t xml:space="preserve">auf die Zeit der Schließung der Schulen vor. Die Zeit der Schließung ist keine Ferienzeit, sondern Lernzeit. Die Schulen vermitteln Unterrichtsstoff soweit dies möglich ist auf </w:t>
      </w:r>
      <w:r w:rsidR="00E76AF2">
        <w:rPr>
          <w:sz w:val="20"/>
          <w:szCs w:val="20"/>
        </w:rPr>
        <w:t xml:space="preserve">digitalen und analogem </w:t>
      </w:r>
      <w:r w:rsidR="0080547E" w:rsidRPr="000F3A9E">
        <w:rPr>
          <w:sz w:val="20"/>
          <w:szCs w:val="20"/>
        </w:rPr>
        <w:t>Wege an die Schüler bzw. durch Erstellen eines Lernplans für Schüler zu Hause.</w:t>
      </w:r>
    </w:p>
    <w:p w:rsidR="006A4D65" w:rsidRDefault="006A4D65" w:rsidP="00076FFB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 xml:space="preserve">Die Schulen greifen dabei in geeigneter Weise auf </w:t>
      </w:r>
      <w:r w:rsidR="006D07F1" w:rsidRPr="000F3A9E">
        <w:rPr>
          <w:sz w:val="20"/>
          <w:szCs w:val="20"/>
        </w:rPr>
        <w:t>alle verfügbaren digitalen und analogen Kanäle zur</w:t>
      </w:r>
      <w:r w:rsidR="001B3099" w:rsidRPr="000F3A9E">
        <w:rPr>
          <w:sz w:val="20"/>
          <w:szCs w:val="20"/>
        </w:rPr>
        <w:t xml:space="preserve"> </w:t>
      </w:r>
      <w:r w:rsidRPr="000F3A9E">
        <w:rPr>
          <w:sz w:val="20"/>
          <w:szCs w:val="20"/>
        </w:rPr>
        <w:t xml:space="preserve">Wissensvermittlung zurück. Dazu gehört das Arbeiten mit aktiven Homepages, App-basierten Systemen, </w:t>
      </w:r>
      <w:r w:rsidR="001B3099" w:rsidRPr="000F3A9E">
        <w:rPr>
          <w:sz w:val="20"/>
          <w:szCs w:val="20"/>
        </w:rPr>
        <w:t>Lernp</w:t>
      </w:r>
      <w:r w:rsidRPr="000F3A9E">
        <w:rPr>
          <w:sz w:val="20"/>
          <w:szCs w:val="20"/>
        </w:rPr>
        <w:t xml:space="preserve">lattformen, Aufgabensammlungen und Unterrichtsmaterialen, die soweit vorhanden zum Einsatz kommen können. </w:t>
      </w:r>
    </w:p>
    <w:p w:rsidR="000F3A9E" w:rsidRPr="000F3A9E" w:rsidRDefault="000F3A9E" w:rsidP="000F3A9E">
      <w:pPr>
        <w:pStyle w:val="Listenabsatz"/>
        <w:spacing w:line="360" w:lineRule="auto"/>
        <w:ind w:left="709"/>
        <w:rPr>
          <w:sz w:val="20"/>
          <w:szCs w:val="20"/>
        </w:rPr>
      </w:pPr>
    </w:p>
    <w:p w:rsidR="002B6663" w:rsidRDefault="000F3A9E" w:rsidP="00E76AF2">
      <w:pPr>
        <w:pStyle w:val="Listenabsatz"/>
        <w:numPr>
          <w:ilvl w:val="0"/>
          <w:numId w:val="12"/>
        </w:numPr>
        <w:ind w:left="1077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Prüfungen </w:t>
      </w:r>
    </w:p>
    <w:p w:rsidR="000F3A9E" w:rsidRPr="000F3A9E" w:rsidRDefault="000F3A9E" w:rsidP="000F3A9E">
      <w:pPr>
        <w:pStyle w:val="Listenabsatz"/>
        <w:spacing w:line="360" w:lineRule="auto"/>
        <w:ind w:left="1080"/>
        <w:rPr>
          <w:b/>
          <w:sz w:val="20"/>
          <w:szCs w:val="20"/>
        </w:rPr>
      </w:pPr>
    </w:p>
    <w:p w:rsidR="0080547E" w:rsidRPr="000F3A9E" w:rsidRDefault="006A4D65" w:rsidP="0080547E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rFonts w:cs="Arial"/>
          <w:sz w:val="20"/>
          <w:szCs w:val="20"/>
        </w:rPr>
      </w:pPr>
      <w:r w:rsidRPr="000F3A9E">
        <w:rPr>
          <w:sz w:val="20"/>
          <w:szCs w:val="20"/>
        </w:rPr>
        <w:t>Die Prüfungen an den allgemeinbildenden</w:t>
      </w:r>
      <w:r w:rsidR="0080547E" w:rsidRPr="000F3A9E">
        <w:rPr>
          <w:sz w:val="20"/>
          <w:szCs w:val="20"/>
        </w:rPr>
        <w:t xml:space="preserve"> und berufsbildenden </w:t>
      </w:r>
      <w:r w:rsidRPr="000F3A9E">
        <w:rPr>
          <w:sz w:val="20"/>
          <w:szCs w:val="20"/>
        </w:rPr>
        <w:t xml:space="preserve">Schulen </w:t>
      </w:r>
      <w:r w:rsidR="004F202F">
        <w:rPr>
          <w:sz w:val="20"/>
          <w:szCs w:val="20"/>
        </w:rPr>
        <w:t>werden</w:t>
      </w:r>
      <w:r w:rsidRPr="000F3A9E">
        <w:rPr>
          <w:sz w:val="20"/>
          <w:szCs w:val="20"/>
        </w:rPr>
        <w:t xml:space="preserve"> </w:t>
      </w:r>
      <w:r w:rsidR="001B3099" w:rsidRPr="000F3A9E">
        <w:rPr>
          <w:sz w:val="20"/>
          <w:szCs w:val="20"/>
        </w:rPr>
        <w:t>sicher</w:t>
      </w:r>
      <w:r w:rsidR="004F202F">
        <w:rPr>
          <w:sz w:val="20"/>
          <w:szCs w:val="20"/>
        </w:rPr>
        <w:t>gestellt</w:t>
      </w:r>
      <w:r w:rsidR="001B3099" w:rsidRPr="000F3A9E">
        <w:rPr>
          <w:sz w:val="20"/>
          <w:szCs w:val="20"/>
        </w:rPr>
        <w:t>.</w:t>
      </w:r>
      <w:r w:rsidRPr="000F3A9E">
        <w:rPr>
          <w:sz w:val="20"/>
          <w:szCs w:val="20"/>
        </w:rPr>
        <w:t xml:space="preserve"> </w:t>
      </w:r>
      <w:r w:rsidR="001B3099" w:rsidRPr="000F3A9E">
        <w:rPr>
          <w:sz w:val="20"/>
          <w:szCs w:val="20"/>
        </w:rPr>
        <w:t>Sie beginnen ab 22. April und damit nach den Osterferien.</w:t>
      </w:r>
      <w:r w:rsidRPr="000F3A9E">
        <w:rPr>
          <w:sz w:val="20"/>
          <w:szCs w:val="20"/>
        </w:rPr>
        <w:t xml:space="preserve"> </w:t>
      </w:r>
    </w:p>
    <w:p w:rsidR="0080547E" w:rsidRPr="000F3A9E" w:rsidRDefault="0080547E" w:rsidP="0080547E">
      <w:pPr>
        <w:pStyle w:val="Listenabsatz"/>
        <w:spacing w:line="360" w:lineRule="auto"/>
        <w:ind w:left="709"/>
        <w:rPr>
          <w:sz w:val="20"/>
          <w:szCs w:val="20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4189"/>
        <w:gridCol w:w="4164"/>
      </w:tblGrid>
      <w:tr w:rsidR="000F4F62" w:rsidRPr="000F3A9E" w:rsidTr="0080547E">
        <w:tc>
          <w:tcPr>
            <w:tcW w:w="4531" w:type="dxa"/>
          </w:tcPr>
          <w:p w:rsidR="0080547E" w:rsidRPr="000F3A9E" w:rsidRDefault="0080547E" w:rsidP="0080547E">
            <w:pPr>
              <w:pStyle w:val="Listenabsatz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0F3A9E">
              <w:rPr>
                <w:rFonts w:cs="Arial"/>
                <w:sz w:val="20"/>
                <w:szCs w:val="20"/>
              </w:rPr>
              <w:t xml:space="preserve">Abitur </w:t>
            </w:r>
          </w:p>
        </w:tc>
        <w:tc>
          <w:tcPr>
            <w:tcW w:w="4531" w:type="dxa"/>
          </w:tcPr>
          <w:p w:rsidR="0080547E" w:rsidRPr="000F3A9E" w:rsidRDefault="0080547E" w:rsidP="000F4F6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0F3A9E">
              <w:rPr>
                <w:rFonts w:cs="Arial"/>
                <w:sz w:val="20"/>
                <w:szCs w:val="20"/>
              </w:rPr>
              <w:t>22. April – 11. Mai</w:t>
            </w:r>
          </w:p>
        </w:tc>
      </w:tr>
      <w:tr w:rsidR="000F4F62" w:rsidRPr="000F3A9E" w:rsidTr="0080547E">
        <w:tc>
          <w:tcPr>
            <w:tcW w:w="4531" w:type="dxa"/>
          </w:tcPr>
          <w:p w:rsidR="0080547E" w:rsidRPr="000F3A9E" w:rsidRDefault="0080547E" w:rsidP="0080547E">
            <w:pPr>
              <w:pStyle w:val="Listenabsatz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0F3A9E">
              <w:rPr>
                <w:rFonts w:cs="Arial"/>
                <w:sz w:val="20"/>
                <w:szCs w:val="20"/>
              </w:rPr>
              <w:t>Haupt- und Realschlussabschluss</w:t>
            </w:r>
          </w:p>
        </w:tc>
        <w:tc>
          <w:tcPr>
            <w:tcW w:w="4531" w:type="dxa"/>
          </w:tcPr>
          <w:p w:rsidR="0080547E" w:rsidRPr="000F3A9E" w:rsidRDefault="004F202F" w:rsidP="000F4F6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0F4F62" w:rsidRPr="000F3A9E">
              <w:rPr>
                <w:rFonts w:cs="Arial"/>
                <w:sz w:val="20"/>
                <w:szCs w:val="20"/>
              </w:rPr>
              <w:t>b 25. Mai</w:t>
            </w:r>
          </w:p>
        </w:tc>
      </w:tr>
      <w:tr w:rsidR="000F4F62" w:rsidRPr="000F3A9E" w:rsidTr="0080547E">
        <w:tc>
          <w:tcPr>
            <w:tcW w:w="4531" w:type="dxa"/>
          </w:tcPr>
          <w:p w:rsidR="0080547E" w:rsidRPr="000F3A9E" w:rsidRDefault="000F4F62" w:rsidP="0080547E">
            <w:pPr>
              <w:pStyle w:val="Listenabsatz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0F3A9E">
              <w:rPr>
                <w:rFonts w:cs="Arial"/>
                <w:sz w:val="20"/>
                <w:szCs w:val="20"/>
              </w:rPr>
              <w:t>Abitur am Beruflichen Gymnasium</w:t>
            </w:r>
          </w:p>
        </w:tc>
        <w:tc>
          <w:tcPr>
            <w:tcW w:w="4531" w:type="dxa"/>
          </w:tcPr>
          <w:p w:rsidR="0080547E" w:rsidRPr="000F3A9E" w:rsidRDefault="004F202F" w:rsidP="000F4F6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April – 29. Mai </w:t>
            </w:r>
          </w:p>
        </w:tc>
      </w:tr>
      <w:tr w:rsidR="000F4F62" w:rsidRPr="000F3A9E" w:rsidTr="0080547E">
        <w:tc>
          <w:tcPr>
            <w:tcW w:w="4531" w:type="dxa"/>
          </w:tcPr>
          <w:p w:rsidR="0080547E" w:rsidRPr="000F3A9E" w:rsidRDefault="000F4F62" w:rsidP="0080547E">
            <w:pPr>
              <w:pStyle w:val="Listenabsatz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0F3A9E">
              <w:rPr>
                <w:rFonts w:cs="Arial"/>
                <w:sz w:val="20"/>
                <w:szCs w:val="20"/>
              </w:rPr>
              <w:t>Fachhochschulreife</w:t>
            </w:r>
          </w:p>
        </w:tc>
        <w:tc>
          <w:tcPr>
            <w:tcW w:w="4531" w:type="dxa"/>
          </w:tcPr>
          <w:p w:rsidR="0080547E" w:rsidRPr="004F202F" w:rsidRDefault="004F202F" w:rsidP="004F202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F202F">
              <w:rPr>
                <w:sz w:val="20"/>
                <w:szCs w:val="20"/>
              </w:rPr>
              <w:t xml:space="preserve">1.Juni </w:t>
            </w:r>
            <w:r w:rsidR="000F4F62" w:rsidRPr="004F202F">
              <w:rPr>
                <w:sz w:val="20"/>
                <w:szCs w:val="20"/>
              </w:rPr>
              <w:t xml:space="preserve">– 10.Juni </w:t>
            </w:r>
          </w:p>
        </w:tc>
      </w:tr>
    </w:tbl>
    <w:p w:rsidR="0080547E" w:rsidRPr="000F3A9E" w:rsidRDefault="0080547E" w:rsidP="000F4F62">
      <w:pPr>
        <w:pStyle w:val="Listenabsatz"/>
        <w:ind w:left="2160"/>
        <w:rPr>
          <w:rFonts w:cs="Arial"/>
          <w:sz w:val="20"/>
          <w:szCs w:val="20"/>
        </w:rPr>
      </w:pPr>
    </w:p>
    <w:p w:rsidR="00A869F6" w:rsidRPr="000F3A9E" w:rsidRDefault="000E68B9" w:rsidP="004721CB">
      <w:pPr>
        <w:spacing w:line="360" w:lineRule="auto"/>
        <w:rPr>
          <w:color w:val="FF0000"/>
          <w:sz w:val="20"/>
          <w:szCs w:val="20"/>
        </w:rPr>
      </w:pPr>
      <w:r w:rsidRPr="000F3A9E">
        <w:rPr>
          <w:color w:val="FF0000"/>
          <w:sz w:val="20"/>
          <w:szCs w:val="20"/>
        </w:rPr>
        <w:br w:type="column"/>
      </w:r>
    </w:p>
    <w:p w:rsidR="002B6663" w:rsidRPr="000F3A9E" w:rsidRDefault="002B6663" w:rsidP="002B6663">
      <w:pPr>
        <w:pStyle w:val="Listenabsatz"/>
        <w:spacing w:line="360" w:lineRule="auto"/>
        <w:rPr>
          <w:sz w:val="20"/>
          <w:szCs w:val="20"/>
        </w:rPr>
      </w:pPr>
    </w:p>
    <w:p w:rsidR="002B6663" w:rsidRDefault="002B6663" w:rsidP="00E76AF2">
      <w:pPr>
        <w:pStyle w:val="Listenabsatz"/>
        <w:numPr>
          <w:ilvl w:val="0"/>
          <w:numId w:val="11"/>
        </w:numPr>
        <w:ind w:left="1077" w:hanging="357"/>
        <w:rPr>
          <w:b/>
          <w:sz w:val="20"/>
          <w:szCs w:val="20"/>
        </w:rPr>
      </w:pPr>
      <w:r w:rsidRPr="000F3A9E">
        <w:rPr>
          <w:b/>
          <w:sz w:val="20"/>
          <w:szCs w:val="20"/>
        </w:rPr>
        <w:t>Lehrerpersonal</w:t>
      </w:r>
    </w:p>
    <w:p w:rsidR="00E76AF2" w:rsidRPr="000F3A9E" w:rsidRDefault="00E76AF2" w:rsidP="00E76AF2">
      <w:pPr>
        <w:pStyle w:val="Listenabsatz"/>
        <w:spacing w:line="360" w:lineRule="auto"/>
        <w:ind w:left="1080"/>
        <w:rPr>
          <w:b/>
          <w:sz w:val="20"/>
          <w:szCs w:val="20"/>
        </w:rPr>
      </w:pPr>
    </w:p>
    <w:p w:rsidR="001B3099" w:rsidRPr="000F3A9E" w:rsidRDefault="001B3099" w:rsidP="000F3A9E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>Lehrer sind in der Zeit der Schulschließung weiterhin im Dienst und können</w:t>
      </w:r>
      <w:r w:rsidR="004721CB" w:rsidRPr="000F3A9E">
        <w:rPr>
          <w:sz w:val="20"/>
          <w:szCs w:val="20"/>
        </w:rPr>
        <w:t xml:space="preserve"> – soweit vertraglich, technisch, organisatorisch oder persönlich möglich – </w:t>
      </w:r>
      <w:r w:rsidRPr="000F3A9E">
        <w:rPr>
          <w:sz w:val="20"/>
          <w:szCs w:val="20"/>
        </w:rPr>
        <w:t xml:space="preserve">auch von zu Hause arbeiten. </w:t>
      </w:r>
      <w:r w:rsidR="000F3A9E" w:rsidRPr="000F3A9E">
        <w:rPr>
          <w:sz w:val="20"/>
          <w:szCs w:val="20"/>
        </w:rPr>
        <w:t>Details werden zu Beginn der kommenden Woche festgelegt.</w:t>
      </w:r>
    </w:p>
    <w:p w:rsidR="002B6663" w:rsidRPr="000F3A9E" w:rsidRDefault="002B6663" w:rsidP="002B6663">
      <w:pPr>
        <w:pStyle w:val="Listenabsatz"/>
        <w:spacing w:line="360" w:lineRule="auto"/>
        <w:rPr>
          <w:sz w:val="20"/>
          <w:szCs w:val="20"/>
        </w:rPr>
      </w:pPr>
    </w:p>
    <w:p w:rsidR="002B6663" w:rsidRDefault="002B6663" w:rsidP="00E76AF2">
      <w:pPr>
        <w:pStyle w:val="Listenabsatz"/>
        <w:numPr>
          <w:ilvl w:val="0"/>
          <w:numId w:val="11"/>
        </w:numPr>
        <w:ind w:left="1077" w:hanging="357"/>
        <w:rPr>
          <w:b/>
          <w:sz w:val="20"/>
          <w:szCs w:val="20"/>
        </w:rPr>
      </w:pPr>
      <w:r w:rsidRPr="000F3A9E">
        <w:rPr>
          <w:b/>
          <w:sz w:val="20"/>
          <w:szCs w:val="20"/>
        </w:rPr>
        <w:t>Schließung von Kitas und Horten und Notmaßnahmen</w:t>
      </w:r>
    </w:p>
    <w:p w:rsidR="00E76AF2" w:rsidRPr="000F3A9E" w:rsidRDefault="00E76AF2" w:rsidP="00E76AF2">
      <w:pPr>
        <w:pStyle w:val="Listenabsatz"/>
        <w:spacing w:line="360" w:lineRule="auto"/>
        <w:ind w:left="1080"/>
        <w:rPr>
          <w:b/>
          <w:sz w:val="20"/>
          <w:szCs w:val="20"/>
        </w:rPr>
      </w:pPr>
    </w:p>
    <w:p w:rsidR="000F3A9E" w:rsidRDefault="000F4F62" w:rsidP="00CF5D2F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>Betreuungseinrichtungen (Krippen, Kindergärten und Horte) werden</w:t>
      </w:r>
      <w:r w:rsidR="001B3099" w:rsidRPr="000F3A9E">
        <w:rPr>
          <w:sz w:val="20"/>
          <w:szCs w:val="20"/>
        </w:rPr>
        <w:t xml:space="preserve"> </w:t>
      </w:r>
      <w:r w:rsidR="006D07F1" w:rsidRPr="000F3A9E">
        <w:rPr>
          <w:sz w:val="20"/>
          <w:szCs w:val="20"/>
        </w:rPr>
        <w:t xml:space="preserve">auch in der Zeit der Schließung nach dem Infektionsschutzgesetz </w:t>
      </w:r>
      <w:r w:rsidR="001B3099" w:rsidRPr="000F3A9E">
        <w:rPr>
          <w:sz w:val="20"/>
          <w:szCs w:val="20"/>
        </w:rPr>
        <w:t>offen</w:t>
      </w:r>
      <w:r w:rsidRPr="000F3A9E">
        <w:rPr>
          <w:sz w:val="20"/>
          <w:szCs w:val="20"/>
        </w:rPr>
        <w:t>ge</w:t>
      </w:r>
      <w:r w:rsidR="001B3099" w:rsidRPr="000F3A9E">
        <w:rPr>
          <w:sz w:val="20"/>
          <w:szCs w:val="20"/>
        </w:rPr>
        <w:t xml:space="preserve">halten, </w:t>
      </w:r>
      <w:r w:rsidRPr="000F3A9E">
        <w:rPr>
          <w:sz w:val="20"/>
          <w:szCs w:val="20"/>
        </w:rPr>
        <w:t xml:space="preserve">soweit sie für die Betreuung von Kindern von Beschäftigten in Einrichtungen der kritischen Infrastruktur notwendig sind. </w:t>
      </w:r>
      <w:r w:rsidR="001B3099" w:rsidRPr="000F3A9E">
        <w:rPr>
          <w:sz w:val="20"/>
          <w:szCs w:val="20"/>
        </w:rPr>
        <w:t>Das betrifft beispielsweise die Betreuung von Kindern von Beschäftigten in Kran</w:t>
      </w:r>
      <w:r w:rsidR="00044B76" w:rsidRPr="000F3A9E">
        <w:rPr>
          <w:sz w:val="20"/>
          <w:szCs w:val="20"/>
        </w:rPr>
        <w:t>k</w:t>
      </w:r>
      <w:r w:rsidRPr="000F3A9E">
        <w:rPr>
          <w:sz w:val="20"/>
          <w:szCs w:val="20"/>
        </w:rPr>
        <w:t>enhäusern, Polizeibehörden usw.</w:t>
      </w:r>
      <w:r w:rsidR="000F3A9E" w:rsidRPr="000F3A9E">
        <w:rPr>
          <w:sz w:val="20"/>
          <w:szCs w:val="20"/>
        </w:rPr>
        <w:t xml:space="preserve"> Die Details werden gemeinsam mit den Kommunen und ihren Spitzenverbänden zu Beginn der nächsten Woche festgelegt.</w:t>
      </w:r>
    </w:p>
    <w:p w:rsidR="000F3A9E" w:rsidRDefault="000F3A9E" w:rsidP="000F3A9E">
      <w:pPr>
        <w:pStyle w:val="Listenabsatz"/>
        <w:spacing w:line="360" w:lineRule="auto"/>
        <w:ind w:left="709"/>
        <w:rPr>
          <w:sz w:val="20"/>
          <w:szCs w:val="20"/>
        </w:rPr>
      </w:pPr>
    </w:p>
    <w:p w:rsidR="00CF5D2F" w:rsidRDefault="00CF5D2F" w:rsidP="00E76AF2">
      <w:pPr>
        <w:pStyle w:val="Listenabsatz"/>
        <w:numPr>
          <w:ilvl w:val="0"/>
          <w:numId w:val="11"/>
        </w:numPr>
        <w:ind w:left="1077" w:hanging="357"/>
        <w:rPr>
          <w:b/>
          <w:sz w:val="20"/>
          <w:szCs w:val="20"/>
        </w:rPr>
      </w:pPr>
      <w:r w:rsidRPr="000F3A9E">
        <w:rPr>
          <w:b/>
          <w:sz w:val="20"/>
          <w:szCs w:val="20"/>
        </w:rPr>
        <w:t>Sonstiges</w:t>
      </w:r>
    </w:p>
    <w:p w:rsidR="00E76AF2" w:rsidRPr="000F3A9E" w:rsidRDefault="00E76AF2" w:rsidP="00E76AF2">
      <w:pPr>
        <w:pStyle w:val="Listenabsatz"/>
        <w:spacing w:line="360" w:lineRule="auto"/>
        <w:ind w:left="1080"/>
        <w:rPr>
          <w:b/>
          <w:sz w:val="20"/>
          <w:szCs w:val="20"/>
        </w:rPr>
      </w:pPr>
    </w:p>
    <w:p w:rsidR="00CF5D2F" w:rsidRPr="000F3A9E" w:rsidRDefault="00CF5D2F" w:rsidP="000F3A9E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 xml:space="preserve">Klassenfahrten </w:t>
      </w:r>
      <w:r w:rsidR="00044B76" w:rsidRPr="000F3A9E">
        <w:rPr>
          <w:sz w:val="20"/>
          <w:szCs w:val="20"/>
        </w:rPr>
        <w:t>ins</w:t>
      </w:r>
      <w:r w:rsidRPr="000F3A9E">
        <w:rPr>
          <w:sz w:val="20"/>
          <w:szCs w:val="20"/>
        </w:rPr>
        <w:t xml:space="preserve"> In- und Ausland sind b</w:t>
      </w:r>
      <w:r w:rsidR="000F4F62" w:rsidRPr="000F3A9E">
        <w:rPr>
          <w:sz w:val="20"/>
          <w:szCs w:val="20"/>
        </w:rPr>
        <w:t xml:space="preserve">is zum Schuljahresende abgesagt, innerhalb  Sachsens zunächst bis Ostern 2020. </w:t>
      </w:r>
      <w:r w:rsidR="00286FAD" w:rsidRPr="000F3A9E">
        <w:rPr>
          <w:sz w:val="20"/>
          <w:szCs w:val="20"/>
        </w:rPr>
        <w:t xml:space="preserve">Bis auf weiteres werden auch keine Klassenfahrten für das neue Schuljahr </w:t>
      </w:r>
      <w:r w:rsidR="000F3A9E" w:rsidRPr="000F3A9E">
        <w:rPr>
          <w:sz w:val="20"/>
          <w:szCs w:val="20"/>
        </w:rPr>
        <w:t xml:space="preserve">und darüber hinaus </w:t>
      </w:r>
      <w:r w:rsidR="00286FAD" w:rsidRPr="000F3A9E">
        <w:rPr>
          <w:sz w:val="20"/>
          <w:szCs w:val="20"/>
        </w:rPr>
        <w:t>vertraglich abgeschlossen.</w:t>
      </w:r>
    </w:p>
    <w:p w:rsidR="00286FAD" w:rsidRPr="000F3A9E" w:rsidRDefault="00286FAD" w:rsidP="000F3A9E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>Außerschulische Veranstaltungen wie Wettbewerbe, Olympiaden, Stipendienfahrten Betriebspraktika, Schüler- und Lehreraustausche und Lehrerfortbildungen werden bis Ende des Schuljahres ausgesetzt.</w:t>
      </w:r>
      <w:r w:rsidR="000F3A9E" w:rsidRPr="000F3A9E">
        <w:rPr>
          <w:sz w:val="20"/>
          <w:szCs w:val="20"/>
        </w:rPr>
        <w:t xml:space="preserve"> </w:t>
      </w:r>
    </w:p>
    <w:p w:rsidR="00286FAD" w:rsidRPr="000F3A9E" w:rsidRDefault="00286FAD" w:rsidP="000F3A9E">
      <w:pPr>
        <w:pStyle w:val="Listenabsatz"/>
        <w:numPr>
          <w:ilvl w:val="0"/>
          <w:numId w:val="9"/>
        </w:numPr>
        <w:spacing w:line="360" w:lineRule="auto"/>
        <w:ind w:left="709" w:hanging="283"/>
        <w:rPr>
          <w:sz w:val="20"/>
          <w:szCs w:val="20"/>
        </w:rPr>
      </w:pPr>
      <w:r w:rsidRPr="000F3A9E">
        <w:rPr>
          <w:sz w:val="20"/>
          <w:szCs w:val="20"/>
        </w:rPr>
        <w:t>Soweit Schulen geschlossen werden, findet auch kein GTA statt.</w:t>
      </w:r>
    </w:p>
    <w:p w:rsidR="00286FAD" w:rsidRPr="000F3A9E" w:rsidRDefault="00286FAD" w:rsidP="00286FAD">
      <w:pPr>
        <w:pStyle w:val="Listenabsatz"/>
        <w:spacing w:line="360" w:lineRule="auto"/>
        <w:rPr>
          <w:sz w:val="20"/>
          <w:szCs w:val="20"/>
        </w:rPr>
      </w:pPr>
    </w:p>
    <w:p w:rsidR="002B6663" w:rsidRPr="000F3A9E" w:rsidRDefault="002B6663" w:rsidP="002B6663">
      <w:pPr>
        <w:spacing w:line="360" w:lineRule="auto"/>
        <w:rPr>
          <w:sz w:val="20"/>
          <w:szCs w:val="20"/>
        </w:rPr>
      </w:pPr>
    </w:p>
    <w:p w:rsidR="002B6663" w:rsidRPr="000F3A9E" w:rsidRDefault="002B6663" w:rsidP="00286FAD">
      <w:pPr>
        <w:rPr>
          <w:sz w:val="20"/>
          <w:szCs w:val="20"/>
        </w:rPr>
      </w:pPr>
    </w:p>
    <w:sectPr w:rsidR="002B6663" w:rsidRPr="000F3A9E" w:rsidSect="00432E9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47" w:rsidRDefault="00FC5447" w:rsidP="004721CB">
      <w:r>
        <w:separator/>
      </w:r>
    </w:p>
  </w:endnote>
  <w:endnote w:type="continuationSeparator" w:id="0">
    <w:p w:rsidR="00FC5447" w:rsidRDefault="00FC5447" w:rsidP="0047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47" w:rsidRDefault="00FC5447" w:rsidP="004721CB">
      <w:r>
        <w:separator/>
      </w:r>
    </w:p>
  </w:footnote>
  <w:footnote w:type="continuationSeparator" w:id="0">
    <w:p w:rsidR="00FC5447" w:rsidRDefault="00FC5447" w:rsidP="0047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DA5"/>
    <w:multiLevelType w:val="hybridMultilevel"/>
    <w:tmpl w:val="629C73FE"/>
    <w:lvl w:ilvl="0" w:tplc="DEE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631C"/>
    <w:multiLevelType w:val="hybridMultilevel"/>
    <w:tmpl w:val="EC483230"/>
    <w:lvl w:ilvl="0" w:tplc="DED07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434C6"/>
    <w:multiLevelType w:val="hybridMultilevel"/>
    <w:tmpl w:val="BBC06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21F"/>
    <w:multiLevelType w:val="hybridMultilevel"/>
    <w:tmpl w:val="5882D2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48B7"/>
    <w:multiLevelType w:val="hybridMultilevel"/>
    <w:tmpl w:val="76FA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A7152"/>
    <w:multiLevelType w:val="hybridMultilevel"/>
    <w:tmpl w:val="B7B2DC5E"/>
    <w:lvl w:ilvl="0" w:tplc="4AAE668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795FE1"/>
    <w:multiLevelType w:val="hybridMultilevel"/>
    <w:tmpl w:val="70E0D74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F55B43"/>
    <w:multiLevelType w:val="hybridMultilevel"/>
    <w:tmpl w:val="8BC23290"/>
    <w:lvl w:ilvl="0" w:tplc="170C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87802"/>
    <w:multiLevelType w:val="hybridMultilevel"/>
    <w:tmpl w:val="51546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4BED"/>
    <w:multiLevelType w:val="hybridMultilevel"/>
    <w:tmpl w:val="1E589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787"/>
    <w:multiLevelType w:val="hybridMultilevel"/>
    <w:tmpl w:val="9B5EE670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6781A4C"/>
    <w:multiLevelType w:val="hybridMultilevel"/>
    <w:tmpl w:val="BB4AB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187C"/>
    <w:multiLevelType w:val="hybridMultilevel"/>
    <w:tmpl w:val="14ECE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3"/>
    <w:rsid w:val="00044B76"/>
    <w:rsid w:val="00076FFB"/>
    <w:rsid w:val="000839A1"/>
    <w:rsid w:val="000E68B9"/>
    <w:rsid w:val="000F3A9E"/>
    <w:rsid w:val="000F4F62"/>
    <w:rsid w:val="001B3099"/>
    <w:rsid w:val="00250CB4"/>
    <w:rsid w:val="00286FAD"/>
    <w:rsid w:val="002B36CC"/>
    <w:rsid w:val="002B6663"/>
    <w:rsid w:val="00432E9B"/>
    <w:rsid w:val="004721CB"/>
    <w:rsid w:val="004F202F"/>
    <w:rsid w:val="006A4D65"/>
    <w:rsid w:val="006D07F1"/>
    <w:rsid w:val="0080547E"/>
    <w:rsid w:val="00A160AC"/>
    <w:rsid w:val="00A869F6"/>
    <w:rsid w:val="00B06AF1"/>
    <w:rsid w:val="00BF541A"/>
    <w:rsid w:val="00CF5D2F"/>
    <w:rsid w:val="00D347D5"/>
    <w:rsid w:val="00E76AF2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2BEF"/>
  <w15:chartTrackingRefBased/>
  <w15:docId w15:val="{51BADF8D-E5A5-401A-9BBC-99AF674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1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1CB"/>
  </w:style>
  <w:style w:type="paragraph" w:styleId="Fuzeile">
    <w:name w:val="footer"/>
    <w:basedOn w:val="Standard"/>
    <w:link w:val="FuzeileZchn"/>
    <w:uiPriority w:val="99"/>
    <w:unhideWhenUsed/>
    <w:rsid w:val="004721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1CB"/>
  </w:style>
  <w:style w:type="table" w:styleId="Tabellenraster">
    <w:name w:val="Table Grid"/>
    <w:basedOn w:val="NormaleTabelle"/>
    <w:uiPriority w:val="39"/>
    <w:rsid w:val="0080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8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Jahns, Andy - SMK</dc:creator>
  <cp:keywords/>
  <dc:description/>
  <cp:lastModifiedBy>Jahns, Andy - SMK</cp:lastModifiedBy>
  <cp:revision>2</cp:revision>
  <cp:lastPrinted>2020-03-13T10:27:00Z</cp:lastPrinted>
  <dcterms:created xsi:type="dcterms:W3CDTF">2020-03-13T11:36:00Z</dcterms:created>
  <dcterms:modified xsi:type="dcterms:W3CDTF">2020-03-13T11:36:00Z</dcterms:modified>
</cp:coreProperties>
</file>